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A4848"/>
          <w:spacing w:val="0"/>
          <w:sz w:val="28"/>
          <w:szCs w:val="28"/>
        </w:rPr>
        <w:t>2023 год – Год Педагога и Наставника</w:t>
      </w:r>
    </w:p>
    <w:p>
      <w:pPr>
        <w:pStyle w:val="Normal"/>
        <w:spacing w:before="240" w:after="6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0"/>
          <w:rFonts w:ascii="inherit" w:hAnsi="inherit"/>
          <w:b w:val="false"/>
          <w:i/>
          <w:caps w:val="false"/>
          <w:smallCaps w:val="false"/>
          <w:color w:val="222222"/>
          <w:spacing w:val="0"/>
          <w:sz w:val="21"/>
          <w:szCs w:val="28"/>
        </w:rPr>
        <w:t>27 июня 2022 года Президент Российской Федерации Владимир Путин подписал об объявлении 2023 года Годом Педагога и Наставника.</w:t>
      </w:r>
      <w:bookmarkStart w:id="0" w:name="more-4398"/>
      <w:bookmarkEnd w:id="0"/>
    </w:p>
    <w:p>
      <w:pPr>
        <w:pStyle w:val="Style16"/>
        <w:widowControl/>
        <w:pBdr/>
        <w:spacing w:before="0" w:after="150"/>
        <w:ind w:left="0" w:right="0" w:hanging="0"/>
        <w:jc w:val="both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в рамках национального проекта «Образование».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Одним из ключевых направлений создания Системы является развитие наставничества педагогических кадров, являющееся эффективным инструментом профессионального роста педагогических работников общего, среднего профессионального и дополнительного образования.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Наставничество, как социально-педагогическое явление,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традиции и инновационные черты.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Главная проблема наставничества в образовании на сегодня – неопределенность его концептуально-методологического и нормативного правового статуса, что существенно затрудняет его «превращение»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Поэтому методологической основой системы наставничества является понимание наставничества как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Наставничество может рассматриваться и как элемент системы дополнительного профессионального образования, которая обеспечивает непрерывное профессиональное образование педагогов в различных формах повышения квалификации. А также – как составная часть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специалистами, деятельность по адаптации педагогических кадров в новой организации или в новой должности, при введении новых технологий и инноваций, обмене опытом между членами педагогического коллектива.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Georgia;Times;Times New Roman;serif" w:hAnsi="Georgia;Times;Times New Roman;serif"/>
          <w:b/>
          <w:i w:val="false"/>
          <w:caps w:val="false"/>
          <w:smallCaps w:val="false"/>
          <w:color w:val="222222"/>
          <w:spacing w:val="0"/>
          <w:sz w:val="21"/>
        </w:rPr>
        <w:t>Наставник</w:t>
      </w: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 – участник специализированной программы наставничества, имеющий неизмеримые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/>
      </w:pPr>
      <w:r>
        <w:rPr>
          <w:rStyle w:val="Style14"/>
          <w:rFonts w:ascii="Georgia;Times;Times New Roman;serif" w:hAnsi="Georgia;Times;Times New Roman;serif"/>
          <w:b/>
          <w:i w:val="false"/>
          <w:caps w:val="false"/>
          <w:smallCaps w:val="false"/>
          <w:color w:val="222222"/>
          <w:spacing w:val="0"/>
          <w:sz w:val="21"/>
        </w:rPr>
        <w:t>Наставляемый</w:t>
      </w: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 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Наставничество, прежде всего, – мера поддержки молодых специалистов. Оно гарантируется наряду с отсутствием испытательного сроки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проблемы. При этом наставник и наставляемый самостоятельно решают, сколько времени потратить на изучение тех или иных вопросов и какова глубина их проработки.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Важными условиями успешного взаимодействия наставника и наставляемого являются соблюдение принципа добровольности, принятие своей роли, наличие объединяющих факторов: общность профессиональных интересов, взаимная заинтересованность и симпатия, уважение и доверие, мотивация к профессиональному росту и развитию, а также готовность к наставническому взаимодействию.</w:t>
      </w:r>
    </w:p>
    <w:p>
      <w:pPr>
        <w:pStyle w:val="Style16"/>
        <w:spacing w:before="0" w:after="12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inherit">
    <w:charset w:val="01"/>
    <w:family w:val="auto"/>
    <w:pitch w:val="default"/>
  </w:font>
  <w:font w:name="Georgia">
    <w:altName w:val="Times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LibreOffice_project/20$Build-1</Application>
  <AppVersion>15.0000</AppVersion>
  <Pages>2</Pages>
  <Words>554</Words>
  <Characters>4011</Characters>
  <CharactersWithSpaces>4485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2023-08-15T10:00:43Z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